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5638"/>
        <w:gridCol w:w="2000"/>
      </w:tblGrid>
      <w:tr w:rsidR="004861B9">
        <w:tc>
          <w:tcPr>
            <w:tcW w:w="2000" w:type="dxa"/>
            <w:tcBorders>
              <w:top w:val="none" w:sz="0" w:space="0" w:color="FFFFFF"/>
              <w:left w:val="none" w:sz="0" w:space="0" w:color="FFFFFF"/>
              <w:bottom w:val="none" w:sz="0" w:space="0" w:color="FFFFFF"/>
              <w:right w:val="none" w:sz="0" w:space="0" w:color="FFFFFF"/>
            </w:tcBorders>
            <w:tcMar>
              <w:top w:w="60" w:type="dxa"/>
              <w:left w:w="120" w:type="dxa"/>
              <w:bottom w:w="60" w:type="dxa"/>
              <w:right w:w="120" w:type="dxa"/>
            </w:tcMar>
            <w:vAlign w:val="center"/>
          </w:tcPr>
          <w:p w:rsidR="004861B9" w:rsidRDefault="003A0BDE">
            <w:bookmarkStart w:id="0" w:name="_GoBack"/>
            <w:bookmarkEnd w:id="0"/>
            <w:r>
              <w:rPr>
                <w:noProof/>
              </w:rPr>
              <w:drawing>
                <wp:inline distT="0" distB="0" distL="0" distR="0">
                  <wp:extent cx="723900" cy="723900"/>
                  <wp:effectExtent l="0" t="0" r="0" b="0"/>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23900" cy="723900"/>
                          </a:xfrm>
                          <a:prstGeom prst="rect">
                            <a:avLst/>
                          </a:prstGeom>
                        </pic:spPr>
                      </pic:pic>
                    </a:graphicData>
                  </a:graphic>
                </wp:inline>
              </w:drawing>
            </w:r>
          </w:p>
        </w:tc>
        <w:tc>
          <w:tcPr>
            <w:tcW w:w="5638" w:type="dxa"/>
            <w:tcBorders>
              <w:top w:val="none" w:sz="0" w:space="0" w:color="FFFFFF"/>
              <w:left w:val="none" w:sz="0" w:space="0" w:color="FFFFFF"/>
              <w:bottom w:val="none" w:sz="0" w:space="0" w:color="FFFFFF"/>
              <w:right w:val="none" w:sz="0" w:space="0" w:color="FFFFFF"/>
            </w:tcBorders>
            <w:shd w:val="clear" w:color="auto" w:fill="1F3A5F"/>
            <w:tcMar>
              <w:top w:w="60" w:type="dxa"/>
              <w:left w:w="120" w:type="dxa"/>
              <w:bottom w:w="60" w:type="dxa"/>
              <w:right w:w="120" w:type="dxa"/>
            </w:tcMar>
            <w:vAlign w:val="center"/>
          </w:tcPr>
          <w:p w:rsidR="004861B9" w:rsidRDefault="003A0BDE">
            <w:pPr>
              <w:spacing w:line="300" w:lineRule="auto"/>
              <w:jc w:val="center"/>
            </w:pPr>
            <w:r>
              <w:rPr>
                <w:b/>
                <w:bCs/>
                <w:color w:val="FFFFFF"/>
                <w:sz w:val="44"/>
                <w:szCs w:val="44"/>
              </w:rPr>
              <w:t>PRESS RELEASE</w:t>
            </w:r>
          </w:p>
        </w:tc>
        <w:tc>
          <w:tcPr>
            <w:tcW w:w="2000" w:type="dxa"/>
            <w:tcBorders>
              <w:top w:val="none" w:sz="0" w:space="0" w:color="FFFFFF"/>
              <w:left w:val="none" w:sz="0" w:space="0" w:color="FFFFFF"/>
              <w:bottom w:val="none" w:sz="0" w:space="0" w:color="FFFFFF"/>
              <w:right w:val="none" w:sz="0" w:space="0" w:color="FFFFFF"/>
            </w:tcBorders>
            <w:tcMar>
              <w:top w:w="60" w:type="dxa"/>
              <w:left w:w="120" w:type="dxa"/>
              <w:bottom w:w="60" w:type="dxa"/>
              <w:right w:w="120" w:type="dxa"/>
            </w:tcMar>
            <w:vAlign w:val="center"/>
          </w:tcPr>
          <w:p w:rsidR="004861B9" w:rsidRDefault="003A0BDE">
            <w:pPr>
              <w:jc w:val="right"/>
            </w:pPr>
            <w:r>
              <w:rPr>
                <w:noProof/>
              </w:rPr>
              <w:drawing>
                <wp:inline distT="0" distB="0" distL="0" distR="0">
                  <wp:extent cx="1066800" cy="723900"/>
                  <wp:effectExtent l="0" t="0" r="0" b="0"/>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1066800" cy="723900"/>
                          </a:xfrm>
                          <a:prstGeom prst="rect">
                            <a:avLst/>
                          </a:prstGeom>
                        </pic:spPr>
                      </pic:pic>
                    </a:graphicData>
                  </a:graphic>
                </wp:inline>
              </w:drawing>
            </w:r>
          </w:p>
        </w:tc>
      </w:tr>
    </w:tbl>
    <w:p w:rsidR="004861B9" w:rsidRDefault="004861B9">
      <w:pPr>
        <w:pBdr>
          <w:bottom w:val="single" w:sz="18" w:space="1" w:color="1F3A5F"/>
        </w:pBdr>
        <w:spacing w:after="120" w:line="120" w:lineRule="auto"/>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3319"/>
        <w:gridCol w:w="1500"/>
        <w:gridCol w:w="3319"/>
      </w:tblGrid>
      <w:tr w:rsidR="004861B9">
        <w:tc>
          <w:tcPr>
            <w:tcW w:w="15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4861B9" w:rsidRDefault="003A0BDE">
            <w:pPr>
              <w:spacing w:line="300" w:lineRule="auto"/>
              <w:jc w:val="center"/>
            </w:pPr>
            <w:r>
              <w:rPr>
                <w:rFonts w:ascii="Arial" w:hAnsi="Arial" w:cs="Arial"/>
                <w:b/>
                <w:bCs/>
                <w:sz w:val="18"/>
                <w:szCs w:val="18"/>
              </w:rPr>
              <w:t>Release</w:t>
            </w:r>
          </w:p>
        </w:tc>
        <w:tc>
          <w:tcPr>
            <w:tcW w:w="8138" w:type="dxa"/>
            <w:gridSpan w:val="3"/>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spacing w:line="300" w:lineRule="auto"/>
            </w:pPr>
            <w:r>
              <w:rPr>
                <w:rFonts w:ascii="Arial" w:hAnsi="Arial" w:cs="Arial"/>
                <w:b/>
                <w:bCs/>
                <w:color w:val="C00000"/>
                <w:sz w:val="18"/>
                <w:szCs w:val="18"/>
              </w:rPr>
              <w:t>FOR IMMEDIATE RELEASE</w:t>
            </w:r>
          </w:p>
        </w:tc>
      </w:tr>
      <w:tr w:rsidR="004861B9">
        <w:tc>
          <w:tcPr>
            <w:tcW w:w="15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4861B9" w:rsidRDefault="003A0BDE">
            <w:pPr>
              <w:spacing w:line="300" w:lineRule="auto"/>
              <w:jc w:val="center"/>
            </w:pPr>
            <w:r>
              <w:rPr>
                <w:rFonts w:ascii="Arial" w:hAnsi="Arial" w:cs="Arial"/>
                <w:b/>
                <w:bCs/>
                <w:sz w:val="18"/>
                <w:szCs w:val="18"/>
              </w:rPr>
              <w:t>Issued</w:t>
            </w:r>
          </w:p>
        </w:tc>
        <w:tc>
          <w:tcPr>
            <w:tcW w:w="3319"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spacing w:line="300" w:lineRule="auto"/>
            </w:pPr>
            <w:r>
              <w:rPr>
                <w:rFonts w:ascii="Arial" w:hAnsi="Arial" w:cs="Arial"/>
                <w:sz w:val="18"/>
                <w:szCs w:val="18"/>
              </w:rPr>
              <w:t xml:space="preserve">September </w:t>
            </w:r>
            <w:r w:rsidR="0059569A">
              <w:rPr>
                <w:rFonts w:ascii="Arial" w:hAnsi="Arial" w:cs="Arial"/>
                <w:sz w:val="18"/>
                <w:szCs w:val="18"/>
              </w:rPr>
              <w:t>17</w:t>
            </w:r>
            <w:r>
              <w:rPr>
                <w:rFonts w:ascii="Arial" w:hAnsi="Arial" w:cs="Arial"/>
                <w:sz w:val="18"/>
                <w:szCs w:val="18"/>
              </w:rPr>
              <w:t>, 2026</w:t>
            </w:r>
          </w:p>
        </w:tc>
        <w:tc>
          <w:tcPr>
            <w:tcW w:w="15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4861B9" w:rsidRDefault="003A0BDE">
            <w:pPr>
              <w:spacing w:line="300" w:lineRule="auto"/>
              <w:jc w:val="center"/>
            </w:pPr>
            <w:r>
              <w:rPr>
                <w:rFonts w:ascii="Arial" w:hAnsi="Arial" w:cs="Arial"/>
                <w:b/>
                <w:bCs/>
                <w:sz w:val="18"/>
                <w:szCs w:val="18"/>
              </w:rPr>
              <w:t>Pages</w:t>
            </w:r>
          </w:p>
        </w:tc>
        <w:tc>
          <w:tcPr>
            <w:tcW w:w="3319"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spacing w:line="300" w:lineRule="auto"/>
            </w:pPr>
            <w:r>
              <w:rPr>
                <w:rFonts w:ascii="Arial" w:hAnsi="Arial" w:cs="Arial"/>
                <w:sz w:val="18"/>
                <w:szCs w:val="18"/>
              </w:rPr>
              <w:t>Text 2 p. / Annex 1 p.</w:t>
            </w:r>
          </w:p>
        </w:tc>
      </w:tr>
      <w:tr w:rsidR="004861B9">
        <w:tc>
          <w:tcPr>
            <w:tcW w:w="15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4861B9" w:rsidRDefault="003A0BDE">
            <w:pPr>
              <w:spacing w:line="300" w:lineRule="auto"/>
              <w:jc w:val="center"/>
            </w:pPr>
            <w:r>
              <w:rPr>
                <w:rFonts w:ascii="Arial" w:hAnsi="Arial" w:cs="Arial"/>
                <w:b/>
                <w:bCs/>
                <w:sz w:val="18"/>
                <w:szCs w:val="18"/>
              </w:rPr>
              <w:t>Department</w:t>
            </w:r>
          </w:p>
        </w:tc>
        <w:tc>
          <w:tcPr>
            <w:tcW w:w="3319"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spacing w:line="300" w:lineRule="auto"/>
            </w:pPr>
            <w:r>
              <w:rPr>
                <w:rFonts w:ascii="Arial" w:hAnsi="Arial" w:cs="Arial"/>
                <w:sz w:val="18"/>
                <w:szCs w:val="18"/>
              </w:rPr>
              <w:t>Incheon Innovation Cluster (IIC) Project Group, GIECT, Incheon National University</w:t>
            </w:r>
          </w:p>
        </w:tc>
        <w:tc>
          <w:tcPr>
            <w:tcW w:w="15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4861B9" w:rsidRDefault="003A0BDE">
            <w:pPr>
              <w:spacing w:line="300" w:lineRule="auto"/>
              <w:jc w:val="center"/>
            </w:pPr>
            <w:r>
              <w:rPr>
                <w:rFonts w:ascii="Arial" w:hAnsi="Arial" w:cs="Arial"/>
                <w:b/>
                <w:bCs/>
                <w:sz w:val="18"/>
                <w:szCs w:val="18"/>
              </w:rPr>
              <w:t>Supervisor</w:t>
            </w:r>
          </w:p>
        </w:tc>
        <w:tc>
          <w:tcPr>
            <w:tcW w:w="3319"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spacing w:line="300" w:lineRule="auto"/>
            </w:pPr>
            <w:r>
              <w:rPr>
                <w:rFonts w:ascii="Arial" w:hAnsi="Arial" w:cs="Arial"/>
                <w:sz w:val="18"/>
                <w:szCs w:val="18"/>
              </w:rPr>
              <w:t xml:space="preserve">Ryu </w:t>
            </w:r>
            <w:proofErr w:type="spellStart"/>
            <w:r>
              <w:rPr>
                <w:rFonts w:ascii="Arial" w:hAnsi="Arial" w:cs="Arial"/>
                <w:sz w:val="18"/>
                <w:szCs w:val="18"/>
              </w:rPr>
              <w:t>Jeh</w:t>
            </w:r>
            <w:r w:rsidR="0059569A">
              <w:rPr>
                <w:rFonts w:ascii="Arial" w:hAnsi="Arial" w:cs="Arial" w:hint="eastAsia"/>
                <w:sz w:val="18"/>
                <w:szCs w:val="18"/>
              </w:rPr>
              <w:t>u</w:t>
            </w:r>
            <w:r>
              <w:rPr>
                <w:rFonts w:ascii="Arial" w:hAnsi="Arial" w:cs="Arial"/>
                <w:sz w:val="18"/>
                <w:szCs w:val="18"/>
              </w:rPr>
              <w:t>n</w:t>
            </w:r>
            <w:proofErr w:type="spellEnd"/>
            <w:r>
              <w:rPr>
                <w:rFonts w:ascii="Arial" w:hAnsi="Arial" w:cs="Arial"/>
                <w:sz w:val="18"/>
                <w:szCs w:val="18"/>
              </w:rPr>
              <w:t xml:space="preserve">, Team </w:t>
            </w:r>
            <w:proofErr w:type="gramStart"/>
            <w:r>
              <w:rPr>
                <w:rFonts w:ascii="Arial" w:hAnsi="Arial" w:cs="Arial"/>
                <w:sz w:val="18"/>
                <w:szCs w:val="18"/>
              </w:rPr>
              <w:t>Leader  (</w:t>
            </w:r>
            <w:proofErr w:type="gramEnd"/>
            <w:r>
              <w:rPr>
                <w:rFonts w:ascii="Arial" w:hAnsi="Arial" w:cs="Arial"/>
                <w:sz w:val="18"/>
                <w:szCs w:val="18"/>
              </w:rPr>
              <w:t>+82‑32‑835‑9195)</w:t>
            </w:r>
          </w:p>
        </w:tc>
      </w:tr>
      <w:tr w:rsidR="004861B9">
        <w:tc>
          <w:tcPr>
            <w:tcW w:w="15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4861B9" w:rsidRDefault="003A0BDE">
            <w:pPr>
              <w:spacing w:line="300" w:lineRule="auto"/>
              <w:jc w:val="center"/>
            </w:pPr>
            <w:r>
              <w:rPr>
                <w:rFonts w:ascii="Arial" w:hAnsi="Arial" w:cs="Arial"/>
                <w:b/>
                <w:bCs/>
                <w:sz w:val="18"/>
                <w:szCs w:val="18"/>
              </w:rPr>
              <w:t>Contact</w:t>
            </w:r>
          </w:p>
        </w:tc>
        <w:tc>
          <w:tcPr>
            <w:tcW w:w="3319"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spacing w:line="300" w:lineRule="auto"/>
            </w:pPr>
            <w:r>
              <w:rPr>
                <w:rFonts w:ascii="Arial" w:hAnsi="Arial" w:cs="Arial"/>
                <w:sz w:val="18"/>
                <w:szCs w:val="18"/>
              </w:rPr>
              <w:t xml:space="preserve">Hyun </w:t>
            </w:r>
            <w:proofErr w:type="spellStart"/>
            <w:r>
              <w:rPr>
                <w:rFonts w:ascii="Arial" w:hAnsi="Arial" w:cs="Arial"/>
                <w:sz w:val="18"/>
                <w:szCs w:val="18"/>
              </w:rPr>
              <w:t>Seungmin</w:t>
            </w:r>
            <w:proofErr w:type="spellEnd"/>
            <w:r>
              <w:rPr>
                <w:rFonts w:ascii="Arial" w:hAnsi="Arial" w:cs="Arial"/>
                <w:sz w:val="18"/>
                <w:szCs w:val="18"/>
              </w:rPr>
              <w:t xml:space="preserve">, </w:t>
            </w:r>
            <w:proofErr w:type="gramStart"/>
            <w:r>
              <w:rPr>
                <w:rFonts w:ascii="Arial" w:hAnsi="Arial" w:cs="Arial"/>
                <w:sz w:val="18"/>
                <w:szCs w:val="18"/>
              </w:rPr>
              <w:t>Researcher  (</w:t>
            </w:r>
            <w:proofErr w:type="gramEnd"/>
            <w:r>
              <w:rPr>
                <w:rFonts w:ascii="Arial" w:hAnsi="Arial" w:cs="Arial"/>
                <w:sz w:val="18"/>
                <w:szCs w:val="18"/>
              </w:rPr>
              <w:t>+82‑32‑835‑9198)</w:t>
            </w:r>
          </w:p>
        </w:tc>
        <w:tc>
          <w:tcPr>
            <w:tcW w:w="15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4861B9" w:rsidRDefault="003A0BDE">
            <w:pPr>
              <w:spacing w:line="300" w:lineRule="auto"/>
              <w:jc w:val="center"/>
            </w:pPr>
            <w:r>
              <w:rPr>
                <w:rFonts w:ascii="Arial" w:hAnsi="Arial" w:cs="Arial"/>
                <w:b/>
                <w:bCs/>
                <w:sz w:val="18"/>
                <w:szCs w:val="18"/>
              </w:rPr>
              <w:t>Email</w:t>
            </w:r>
          </w:p>
        </w:tc>
        <w:tc>
          <w:tcPr>
            <w:tcW w:w="3319"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spacing w:line="300" w:lineRule="auto"/>
            </w:pPr>
            <w:r>
              <w:rPr>
                <w:rFonts w:ascii="Arial" w:hAnsi="Arial" w:cs="Arial"/>
                <w:sz w:val="18"/>
                <w:szCs w:val="18"/>
              </w:rPr>
              <w:t>innopolis@inu.ac.kr</w:t>
            </w:r>
          </w:p>
        </w:tc>
      </w:tr>
      <w:tr w:rsidR="004861B9">
        <w:tc>
          <w:tcPr>
            <w:tcW w:w="15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4861B9" w:rsidRDefault="003A0BDE">
            <w:pPr>
              <w:spacing w:line="300" w:lineRule="auto"/>
              <w:jc w:val="center"/>
            </w:pPr>
            <w:r>
              <w:rPr>
                <w:rFonts w:ascii="Arial" w:hAnsi="Arial" w:cs="Arial"/>
                <w:b/>
                <w:bCs/>
                <w:sz w:val="18"/>
                <w:szCs w:val="18"/>
              </w:rPr>
              <w:t>Photos</w:t>
            </w:r>
          </w:p>
        </w:tc>
        <w:tc>
          <w:tcPr>
            <w:tcW w:w="8138" w:type="dxa"/>
            <w:gridSpan w:val="3"/>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spacing w:line="300" w:lineRule="auto"/>
            </w:pPr>
            <w:r>
              <w:rPr>
                <w:rFonts w:ascii="Arial" w:hAnsi="Arial" w:cs="Arial"/>
                <w:sz w:val="18"/>
                <w:szCs w:val="18"/>
              </w:rPr>
              <w:t>Yes (2)</w:t>
            </w:r>
          </w:p>
        </w:tc>
      </w:tr>
    </w:tbl>
    <w:p w:rsidR="004861B9" w:rsidRDefault="004861B9">
      <w:pPr>
        <w:spacing w:after="120" w:line="360" w:lineRule="auto"/>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4861B9">
        <w:tc>
          <w:tcPr>
            <w:tcW w:w="9638" w:type="dxa"/>
            <w:tcBorders>
              <w:top w:val="single" w:sz="18" w:space="0" w:color="1F3A5F"/>
              <w:left w:val="none" w:sz="0" w:space="0" w:color="FFFFFF"/>
              <w:bottom w:val="single" w:sz="18" w:space="0" w:color="1F3A5F"/>
              <w:right w:val="none" w:sz="0" w:space="0" w:color="FFFFFF"/>
            </w:tcBorders>
            <w:shd w:val="clear" w:color="auto" w:fill="F3F6FA"/>
            <w:tcMar>
              <w:top w:w="60" w:type="dxa"/>
              <w:left w:w="120" w:type="dxa"/>
              <w:bottom w:w="60" w:type="dxa"/>
              <w:right w:w="120" w:type="dxa"/>
            </w:tcMar>
            <w:vAlign w:val="center"/>
          </w:tcPr>
          <w:p w:rsidR="004861B9" w:rsidRDefault="003A0BDE">
            <w:pPr>
              <w:spacing w:before="160" w:after="160" w:line="400" w:lineRule="auto"/>
              <w:jc w:val="center"/>
            </w:pPr>
            <w:r>
              <w:rPr>
                <w:rFonts w:ascii="Arial" w:hAnsi="Arial" w:cs="Arial"/>
                <w:b/>
                <w:bCs/>
                <w:color w:val="1F3A5F"/>
                <w:sz w:val="28"/>
                <w:szCs w:val="28"/>
              </w:rPr>
              <w:t>Incheon Innovation Cluster Expands International Industry–Academia–Research Cooperation through Incheon–Tianjin Environmental Technology Exchange</w:t>
            </w:r>
          </w:p>
        </w:tc>
      </w:tr>
    </w:tbl>
    <w:p w:rsidR="004861B9" w:rsidRDefault="004861B9">
      <w:pPr>
        <w:spacing w:after="40" w:line="320" w:lineRule="auto"/>
        <w:jc w:val="both"/>
      </w:pPr>
    </w:p>
    <w:p w:rsidR="004861B9" w:rsidRDefault="003A0BDE">
      <w:pPr>
        <w:spacing w:after="40" w:line="320" w:lineRule="auto"/>
        <w:ind w:left="300" w:hanging="220"/>
      </w:pPr>
      <w:r>
        <w:rPr>
          <w:rFonts w:ascii="Arial" w:hAnsi="Arial" w:cs="Arial"/>
          <w:b/>
          <w:bCs/>
          <w:sz w:val="21"/>
          <w:szCs w:val="21"/>
        </w:rPr>
        <w:t xml:space="preserve">– </w:t>
      </w:r>
      <w:r>
        <w:rPr>
          <w:rFonts w:ascii="Arial" w:hAnsi="Arial" w:cs="Arial"/>
          <w:b/>
          <w:bCs/>
          <w:i/>
          <w:iCs/>
        </w:rPr>
        <w:t>161 domestic and international experts and IIC companies attend; 12 research results shared across three fields</w:t>
      </w:r>
    </w:p>
    <w:p w:rsidR="004861B9" w:rsidRDefault="003A0BDE">
      <w:pPr>
        <w:spacing w:after="40" w:line="320" w:lineRule="auto"/>
        <w:ind w:left="300" w:hanging="220"/>
      </w:pPr>
      <w:r>
        <w:rPr>
          <w:rFonts w:ascii="Arial" w:hAnsi="Arial" w:cs="Arial"/>
          <w:b/>
          <w:bCs/>
          <w:sz w:val="21"/>
          <w:szCs w:val="21"/>
        </w:rPr>
        <w:t xml:space="preserve">– </w:t>
      </w:r>
      <w:r>
        <w:rPr>
          <w:rFonts w:ascii="Arial" w:hAnsi="Arial" w:cs="Arial"/>
          <w:b/>
          <w:bCs/>
          <w:i/>
          <w:iCs/>
        </w:rPr>
        <w:t>Groundwork laid for IIC companies’ technology upgrading and for joint research, demonstration and commercialization</w:t>
      </w:r>
    </w:p>
    <w:p w:rsidR="004861B9" w:rsidRDefault="004861B9">
      <w:pPr>
        <w:spacing w:after="20" w:line="320" w:lineRule="auto"/>
        <w:jc w:val="both"/>
      </w:pPr>
    </w:p>
    <w:p w:rsidR="004861B9" w:rsidRDefault="004861B9">
      <w:pPr>
        <w:pBdr>
          <w:bottom w:val="single" w:sz="6" w:space="1" w:color="2E7D6B"/>
        </w:pBdr>
        <w:spacing w:after="120" w:line="120" w:lineRule="auto"/>
      </w:pPr>
    </w:p>
    <w:p w:rsidR="004861B9" w:rsidRDefault="003A0BDE">
      <w:pPr>
        <w:spacing w:after="140" w:line="320" w:lineRule="auto"/>
        <w:jc w:val="both"/>
      </w:pPr>
      <w:r>
        <w:rPr>
          <w:rFonts w:ascii="Arial" w:hAnsi="Arial" w:cs="Arial"/>
          <w:b/>
          <w:bCs/>
          <w:sz w:val="21"/>
          <w:szCs w:val="21"/>
        </w:rPr>
        <w:t xml:space="preserve">INCHEON, Republic of Korea — </w:t>
      </w:r>
      <w:r>
        <w:rPr>
          <w:rFonts w:ascii="Arial" w:hAnsi="Arial" w:cs="Arial"/>
          <w:sz w:val="21"/>
          <w:szCs w:val="21"/>
        </w:rPr>
        <w:t xml:space="preserve">The Incheon Innovation Cluster Project Group (Director: </w:t>
      </w:r>
      <w:proofErr w:type="spellStart"/>
      <w:r>
        <w:rPr>
          <w:rFonts w:ascii="Arial" w:hAnsi="Arial" w:cs="Arial"/>
          <w:sz w:val="21"/>
          <w:szCs w:val="21"/>
        </w:rPr>
        <w:t>Heekwan</w:t>
      </w:r>
      <w:proofErr w:type="spellEnd"/>
      <w:r>
        <w:rPr>
          <w:rFonts w:ascii="Arial" w:hAnsi="Arial" w:cs="Arial"/>
          <w:sz w:val="21"/>
          <w:szCs w:val="21"/>
        </w:rPr>
        <w:t xml:space="preserve"> Lee, Professor at Incheon National University; “IIC Project Group”) held the IIC Environmental Technology Seminar on September 9 at the Faculty Hall of Incheon National University’s Songdo Campus, in conjunction with the 7th Incheon–Tianjin International Academic Forum on the Environment.</w:t>
      </w:r>
    </w:p>
    <w:p w:rsidR="004861B9" w:rsidRDefault="003A0BDE">
      <w:pPr>
        <w:spacing w:after="140" w:line="320" w:lineRule="auto"/>
        <w:jc w:val="both"/>
      </w:pPr>
      <w:r>
        <w:rPr>
          <w:rFonts w:ascii="Arial" w:hAnsi="Arial" w:cs="Arial"/>
          <w:sz w:val="21"/>
          <w:szCs w:val="21"/>
        </w:rPr>
        <w:t>The seminar was jointly organized by the IIC Project Group, Incheon National University, the Incheon Metropolitan City Institute of Health and Environment, and Tianjin University of China. A total of 161 participants attended, including IIC companies, environmental experts and researchers from Korea and abroad, and members of the public.</w:t>
      </w:r>
    </w:p>
    <w:p w:rsidR="004861B9" w:rsidRDefault="003A0BDE">
      <w:pPr>
        <w:spacing w:after="140" w:line="320" w:lineRule="auto"/>
        <w:jc w:val="both"/>
      </w:pPr>
      <w:r>
        <w:rPr>
          <w:rFonts w:ascii="Arial" w:hAnsi="Arial" w:cs="Arial"/>
          <w:sz w:val="21"/>
          <w:szCs w:val="21"/>
        </w:rPr>
        <w:t>The seminar was designed to share environmental technology research and to explore opportunities for IIC companies in technology upgrading, joint research, technology transfer, field demonstration and commercialization. With experts from universities and research institutes in Incheon, Tianjin and beyond sharing the latest environmental technologies and research trends, the event broadened the foundation for international industry–academia–research cooperation.</w:t>
      </w:r>
    </w:p>
    <w:p w:rsidR="004861B9" w:rsidRDefault="003A0BDE">
      <w:pPr>
        <w:spacing w:after="140" w:line="320" w:lineRule="auto"/>
        <w:jc w:val="both"/>
      </w:pPr>
      <w:r>
        <w:rPr>
          <w:rFonts w:ascii="Arial" w:hAnsi="Arial" w:cs="Arial"/>
          <w:sz w:val="21"/>
          <w:szCs w:val="21"/>
        </w:rPr>
        <w:lastRenderedPageBreak/>
        <w:t>The program ran in three sessions — Air &amp; Climate, Energy &amp; Carbon, and Water &amp; Soil — featuring a total of 12 research results and environmental technologies:</w:t>
      </w:r>
    </w:p>
    <w:p w:rsidR="004861B9" w:rsidRDefault="003A0BDE">
      <w:pPr>
        <w:spacing w:after="80" w:line="320" w:lineRule="auto"/>
        <w:ind w:left="400" w:hanging="220"/>
        <w:jc w:val="both"/>
      </w:pPr>
      <w:r>
        <w:rPr>
          <w:rFonts w:ascii="Arial" w:hAnsi="Arial" w:cs="Arial"/>
          <w:color w:val="1F3A5F"/>
          <w:sz w:val="21"/>
          <w:szCs w:val="21"/>
        </w:rPr>
        <w:t xml:space="preserve">• </w:t>
      </w:r>
      <w:r>
        <w:rPr>
          <w:rFonts w:ascii="Arial" w:hAnsi="Arial" w:cs="Arial"/>
          <w:b/>
          <w:bCs/>
          <w:sz w:val="21"/>
          <w:szCs w:val="21"/>
        </w:rPr>
        <w:t xml:space="preserve">Air &amp; Climate: </w:t>
      </w:r>
      <w:r>
        <w:rPr>
          <w:rFonts w:ascii="Arial" w:hAnsi="Arial" w:cs="Arial"/>
          <w:sz w:val="21"/>
          <w:szCs w:val="21"/>
        </w:rPr>
        <w:t>air pollution source analysis, building a PM2.5 measurement infrastructure, China’s carbon policy, and the characteristics of fine dust generation in Incheon.</w:t>
      </w:r>
    </w:p>
    <w:p w:rsidR="004861B9" w:rsidRDefault="003A0BDE">
      <w:pPr>
        <w:spacing w:after="80" w:line="320" w:lineRule="auto"/>
        <w:ind w:left="400" w:hanging="220"/>
        <w:jc w:val="both"/>
      </w:pPr>
      <w:r>
        <w:rPr>
          <w:rFonts w:ascii="Arial" w:hAnsi="Arial" w:cs="Arial"/>
          <w:color w:val="1F3A5F"/>
          <w:sz w:val="21"/>
          <w:szCs w:val="21"/>
        </w:rPr>
        <w:t xml:space="preserve">• </w:t>
      </w:r>
      <w:r>
        <w:rPr>
          <w:rFonts w:ascii="Arial" w:hAnsi="Arial" w:cs="Arial"/>
          <w:b/>
          <w:bCs/>
          <w:sz w:val="21"/>
          <w:szCs w:val="21"/>
        </w:rPr>
        <w:t xml:space="preserve">Energy &amp; Carbon: </w:t>
      </w:r>
      <w:r>
        <w:rPr>
          <w:rFonts w:ascii="Arial" w:hAnsi="Arial" w:cs="Arial"/>
          <w:sz w:val="21"/>
          <w:szCs w:val="21"/>
        </w:rPr>
        <w:t>ammonia synthesis, air pollution and greenhouse gas emissions from ships at Incheon Port, waste-to-resource conversion, and soil carbon storage technologies.</w:t>
      </w:r>
    </w:p>
    <w:p w:rsidR="004861B9" w:rsidRDefault="003A0BDE">
      <w:pPr>
        <w:spacing w:after="80" w:line="320" w:lineRule="auto"/>
        <w:ind w:left="400" w:hanging="220"/>
        <w:jc w:val="both"/>
      </w:pPr>
      <w:r>
        <w:rPr>
          <w:rFonts w:ascii="Arial" w:hAnsi="Arial" w:cs="Arial"/>
          <w:color w:val="1F3A5F"/>
          <w:sz w:val="21"/>
          <w:szCs w:val="21"/>
        </w:rPr>
        <w:t xml:space="preserve">• </w:t>
      </w:r>
      <w:r>
        <w:rPr>
          <w:rFonts w:ascii="Arial" w:hAnsi="Arial" w:cs="Arial"/>
          <w:b/>
          <w:bCs/>
          <w:sz w:val="21"/>
          <w:szCs w:val="21"/>
        </w:rPr>
        <w:t xml:space="preserve">Water &amp; Soil: </w:t>
      </w:r>
      <w:r>
        <w:rPr>
          <w:rFonts w:ascii="Arial" w:hAnsi="Arial" w:cs="Arial"/>
          <w:sz w:val="21"/>
          <w:szCs w:val="21"/>
        </w:rPr>
        <w:t>soil assessment in the Incheon region, removal of aquatic micropollutants, tracking nanoparticles in plant roots, and big data–based water quality management.</w:t>
      </w:r>
    </w:p>
    <w:p w:rsidR="004861B9" w:rsidRDefault="003A0BDE">
      <w:pPr>
        <w:spacing w:before="60" w:after="140" w:line="320" w:lineRule="auto"/>
        <w:jc w:val="both"/>
      </w:pPr>
      <w:r>
        <w:rPr>
          <w:rFonts w:ascii="Arial" w:hAnsi="Arial" w:cs="Arial"/>
          <w:sz w:val="21"/>
          <w:szCs w:val="21"/>
        </w:rPr>
        <w:t>Presenters included researchers from leading Chinese universities — Nankai University, Tianjin University, Sichuan University, Nanjing University of Science and Technology, Shandong University and Harbin Institute of Technology — as well as experts from the Incheon Metropolitan City Institute of Health and Environment and Incheon National University. Discussions covered recent findings and the practical applicability of technologies in air quality management, carbon neutrality, waste-to-resource conversion and water environment management.</w:t>
      </w:r>
    </w:p>
    <w:p w:rsidR="004861B9" w:rsidRDefault="003A0BDE">
      <w:pPr>
        <w:spacing w:after="140" w:line="320" w:lineRule="auto"/>
        <w:jc w:val="both"/>
      </w:pPr>
      <w:r>
        <w:rPr>
          <w:rFonts w:ascii="Arial" w:hAnsi="Arial" w:cs="Arial"/>
          <w:sz w:val="21"/>
          <w:szCs w:val="21"/>
        </w:rPr>
        <w:t>According to the IIC Project Group, the seminar helped IIC companies understand domestic and international environmental technology, policy and research trends, and sharpen their future technology development and market strategies. Through exchanges with experts, companies also reviewed ways to advance their own technologies and laid the groundwork for joint research, technology transfer and demonstration projects with universities and research institutes.</w:t>
      </w:r>
    </w:p>
    <w:p w:rsidR="004861B9" w:rsidRDefault="003A0BDE">
      <w:pPr>
        <w:spacing w:after="140" w:line="320" w:lineRule="auto"/>
        <w:jc w:val="both"/>
      </w:pPr>
      <w:r>
        <w:rPr>
          <w:rFonts w:ascii="Arial" w:hAnsi="Arial" w:cs="Arial"/>
          <w:sz w:val="21"/>
          <w:szCs w:val="21"/>
        </w:rPr>
        <w:t>Notably, the event went beyond academic exchange and was run as a company-support technology seminar linking research results to corporate technology development and commercialization. The IIC Project Group plans to pursue follow-up cooperation that connects company needs with university and research institute results, leading to technology matching, joint research, field demonstration and commercialization programs.</w:t>
      </w:r>
    </w:p>
    <w:p w:rsidR="004861B9" w:rsidRDefault="003A0BDE">
      <w:pPr>
        <w:spacing w:after="140" w:line="320" w:lineRule="auto"/>
        <w:jc w:val="both"/>
      </w:pPr>
      <w:r>
        <w:rPr>
          <w:rFonts w:ascii="Arial" w:hAnsi="Arial" w:cs="Arial"/>
          <w:sz w:val="21"/>
          <w:szCs w:val="21"/>
        </w:rPr>
        <w:t>The seminar also strengthened the Incheon–Tianjin academic and technology exchange network in the environmental field and laid the foundation for follow-up exchanges and the identification of joint cooperation projects in 2027.</w:t>
      </w:r>
    </w:p>
    <w:p w:rsidR="004861B9" w:rsidRDefault="003A0BDE">
      <w:pPr>
        <w:spacing w:after="140" w:line="320" w:lineRule="auto"/>
        <w:jc w:val="both"/>
      </w:pPr>
      <w:r>
        <w:rPr>
          <w:rFonts w:ascii="Arial" w:hAnsi="Arial" w:cs="Arial"/>
          <w:sz w:val="21"/>
          <w:szCs w:val="21"/>
        </w:rPr>
        <w:t xml:space="preserve">“This environmental technology seminar was a meaningful occasion for domestic and international environmental experts and IIC companies to share the latest research results and technology trends,” said </w:t>
      </w:r>
      <w:proofErr w:type="spellStart"/>
      <w:r>
        <w:rPr>
          <w:rFonts w:ascii="Arial" w:hAnsi="Arial" w:cs="Arial"/>
          <w:sz w:val="21"/>
          <w:szCs w:val="21"/>
        </w:rPr>
        <w:t>Heekwan</w:t>
      </w:r>
      <w:proofErr w:type="spellEnd"/>
      <w:r>
        <w:rPr>
          <w:rFonts w:ascii="Arial" w:hAnsi="Arial" w:cs="Arial"/>
          <w:sz w:val="21"/>
          <w:szCs w:val="21"/>
        </w:rPr>
        <w:t xml:space="preserve"> Lee, Director of the Incheon Innovation Cluster Project Group. “Building on IIC’s capabilities in commercializing environmental technologies and its international cooperation network, we will expand opportunities for technology upgrading and global cooperation for companies in the cluster.”</w:t>
      </w:r>
    </w:p>
    <w:p w:rsidR="004861B9" w:rsidRDefault="003A0BDE" w:rsidP="009535F2">
      <w:pPr>
        <w:spacing w:after="140" w:line="320" w:lineRule="auto"/>
        <w:jc w:val="both"/>
      </w:pPr>
      <w:r>
        <w:rPr>
          <w:rFonts w:ascii="Arial" w:hAnsi="Arial" w:cs="Arial"/>
          <w:sz w:val="21"/>
          <w:szCs w:val="21"/>
        </w:rPr>
        <w:t>He added, “IIC will continue to work with Incheon National University, the Incheon Metropolitan City Institute of Health and Environment, and overseas universities and research institutes to actively support the translation of environmental research into company growth, demonstration and commercialization.”</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4861B9">
        <w:tc>
          <w:tcPr>
            <w:tcW w:w="9638" w:type="dxa"/>
            <w:tcBorders>
              <w:top w:val="single" w:sz="4" w:space="0" w:color="BFBFBF"/>
              <w:left w:val="single" w:sz="4" w:space="0" w:color="BFBFBF"/>
              <w:bottom w:val="single" w:sz="4" w:space="0" w:color="BFBFBF"/>
              <w:right w:val="single" w:sz="4" w:space="0" w:color="BFBFBF"/>
            </w:tcBorders>
            <w:shd w:val="clear" w:color="auto" w:fill="F7F7F7"/>
            <w:tcMar>
              <w:top w:w="60" w:type="dxa"/>
              <w:left w:w="120" w:type="dxa"/>
              <w:bottom w:w="60" w:type="dxa"/>
              <w:right w:w="120" w:type="dxa"/>
            </w:tcMar>
            <w:vAlign w:val="center"/>
          </w:tcPr>
          <w:p w:rsidR="004861B9" w:rsidRDefault="003A0BDE">
            <w:pPr>
              <w:spacing w:line="300" w:lineRule="auto"/>
            </w:pPr>
            <w:r>
              <w:rPr>
                <w:rFonts w:ascii="Arial" w:hAnsi="Arial" w:cs="Arial"/>
                <w:b/>
                <w:bCs/>
                <w:color w:val="1F3A5F"/>
                <w:sz w:val="19"/>
                <w:szCs w:val="19"/>
              </w:rPr>
              <w:t>About the Incheon Innovation Cluster (IIC)</w:t>
            </w:r>
          </w:p>
          <w:p w:rsidR="004861B9" w:rsidRDefault="003A0BDE">
            <w:pPr>
              <w:spacing w:before="60" w:line="280" w:lineRule="auto"/>
              <w:jc w:val="both"/>
            </w:pPr>
            <w:r>
              <w:rPr>
                <w:rFonts w:ascii="Arial" w:hAnsi="Arial" w:cs="Arial"/>
                <w:sz w:val="17"/>
                <w:szCs w:val="17"/>
              </w:rPr>
              <w:t>The Incheon Innovation Cluster is an R&amp;D special zone specializing in environmental technology, with the GIECT of Incheon National University as its core technology institution. Through the Korea–Central Asia Science and Technology Cooperation Center (K-CAST), overseas branches in Mongolia, Pakistan, Malaysia and Thailand, and the IIC CONFEX international environmental technology conference, IIC supports the global expansion of companies in the zone.</w:t>
            </w:r>
          </w:p>
        </w:tc>
      </w:tr>
    </w:tbl>
    <w:p w:rsidR="004861B9" w:rsidRDefault="004861B9">
      <w:pPr>
        <w:pageBreakBefore/>
        <w:spacing w:line="120" w:lineRule="auto"/>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4861B9">
        <w:tc>
          <w:tcPr>
            <w:tcW w:w="9638" w:type="dxa"/>
            <w:tcBorders>
              <w:top w:val="none" w:sz="0" w:space="0" w:color="FFFFFF"/>
              <w:left w:val="none" w:sz="0" w:space="0" w:color="FFFFFF"/>
              <w:bottom w:val="none" w:sz="0" w:space="0" w:color="FFFFFF"/>
              <w:right w:val="none" w:sz="0" w:space="0" w:color="FFFFFF"/>
            </w:tcBorders>
            <w:shd w:val="clear" w:color="auto" w:fill="1F3A5F"/>
            <w:tcMar>
              <w:top w:w="60" w:type="dxa"/>
              <w:left w:w="120" w:type="dxa"/>
              <w:bottom w:w="60" w:type="dxa"/>
              <w:right w:w="120" w:type="dxa"/>
            </w:tcMar>
            <w:vAlign w:val="center"/>
          </w:tcPr>
          <w:p w:rsidR="004861B9" w:rsidRDefault="003A0BDE">
            <w:pPr>
              <w:spacing w:line="300" w:lineRule="auto"/>
            </w:pPr>
            <w:r>
              <w:rPr>
                <w:b/>
                <w:bCs/>
                <w:color w:val="FFFFFF"/>
              </w:rPr>
              <w:t xml:space="preserve">Annex </w:t>
            </w:r>
            <w:proofErr w:type="gramStart"/>
            <w:r>
              <w:rPr>
                <w:b/>
                <w:bCs/>
                <w:color w:val="FFFFFF"/>
              </w:rPr>
              <w:t>1  Event</w:t>
            </w:r>
            <w:proofErr w:type="gramEnd"/>
            <w:r>
              <w:rPr>
                <w:b/>
                <w:bCs/>
                <w:color w:val="FFFFFF"/>
              </w:rPr>
              <w:t xml:space="preserve"> Overview</w:t>
            </w:r>
          </w:p>
        </w:tc>
      </w:tr>
    </w:tbl>
    <w:p w:rsidR="004861B9" w:rsidRDefault="004861B9">
      <w:pPr>
        <w:spacing w:after="60" w:line="360" w:lineRule="auto"/>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7738"/>
      </w:tblGrid>
      <w:tr w:rsidR="004861B9">
        <w:tc>
          <w:tcPr>
            <w:tcW w:w="19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4861B9" w:rsidRDefault="003A0BDE">
            <w:pPr>
              <w:spacing w:line="300" w:lineRule="auto"/>
              <w:jc w:val="center"/>
            </w:pPr>
            <w:r>
              <w:rPr>
                <w:rFonts w:ascii="Arial" w:hAnsi="Arial" w:cs="Arial"/>
                <w:b/>
                <w:bCs/>
                <w:sz w:val="18"/>
                <w:szCs w:val="18"/>
              </w:rPr>
              <w:t>Event</w:t>
            </w:r>
          </w:p>
        </w:tc>
        <w:tc>
          <w:tcPr>
            <w:tcW w:w="7738"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spacing w:line="300" w:lineRule="auto"/>
            </w:pPr>
            <w:r>
              <w:rPr>
                <w:rFonts w:ascii="Arial" w:hAnsi="Arial" w:cs="Arial"/>
                <w:sz w:val="18"/>
                <w:szCs w:val="18"/>
              </w:rPr>
              <w:t>IIC Environmental Technology Seminar (in conjunction with the 7th Incheon–Tianjin International Academic Forum on the Environment)</w:t>
            </w:r>
          </w:p>
        </w:tc>
      </w:tr>
      <w:tr w:rsidR="004861B9">
        <w:tc>
          <w:tcPr>
            <w:tcW w:w="19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4861B9" w:rsidRDefault="003A0BDE">
            <w:pPr>
              <w:spacing w:line="300" w:lineRule="auto"/>
              <w:jc w:val="center"/>
            </w:pPr>
            <w:r>
              <w:rPr>
                <w:rFonts w:ascii="Arial" w:hAnsi="Arial" w:cs="Arial"/>
                <w:b/>
                <w:bCs/>
                <w:sz w:val="18"/>
                <w:szCs w:val="18"/>
              </w:rPr>
              <w:t>Date</w:t>
            </w:r>
          </w:p>
        </w:tc>
        <w:tc>
          <w:tcPr>
            <w:tcW w:w="7738"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spacing w:line="300" w:lineRule="auto"/>
            </w:pPr>
            <w:r>
              <w:rPr>
                <w:rFonts w:ascii="Arial" w:hAnsi="Arial" w:cs="Arial"/>
                <w:sz w:val="18"/>
                <w:szCs w:val="18"/>
              </w:rPr>
              <w:t>Wednesday, September 9, 2026</w:t>
            </w:r>
          </w:p>
        </w:tc>
      </w:tr>
      <w:tr w:rsidR="004861B9">
        <w:tc>
          <w:tcPr>
            <w:tcW w:w="19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4861B9" w:rsidRDefault="003A0BDE">
            <w:pPr>
              <w:spacing w:line="300" w:lineRule="auto"/>
              <w:jc w:val="center"/>
            </w:pPr>
            <w:r>
              <w:rPr>
                <w:rFonts w:ascii="Arial" w:hAnsi="Arial" w:cs="Arial"/>
                <w:b/>
                <w:bCs/>
                <w:sz w:val="18"/>
                <w:szCs w:val="18"/>
              </w:rPr>
              <w:t>Venue</w:t>
            </w:r>
          </w:p>
        </w:tc>
        <w:tc>
          <w:tcPr>
            <w:tcW w:w="7738"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spacing w:line="300" w:lineRule="auto"/>
            </w:pPr>
            <w:r>
              <w:rPr>
                <w:rFonts w:ascii="Arial" w:hAnsi="Arial" w:cs="Arial"/>
                <w:sz w:val="18"/>
                <w:szCs w:val="18"/>
              </w:rPr>
              <w:t>Faculty Hall, Songdo Campus, Incheon National University</w:t>
            </w:r>
          </w:p>
        </w:tc>
      </w:tr>
      <w:tr w:rsidR="004861B9">
        <w:tc>
          <w:tcPr>
            <w:tcW w:w="19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4861B9" w:rsidRDefault="003A0BDE">
            <w:pPr>
              <w:spacing w:line="300" w:lineRule="auto"/>
              <w:jc w:val="center"/>
            </w:pPr>
            <w:r>
              <w:rPr>
                <w:rFonts w:ascii="Arial" w:hAnsi="Arial" w:cs="Arial"/>
                <w:b/>
                <w:bCs/>
                <w:sz w:val="18"/>
                <w:szCs w:val="18"/>
              </w:rPr>
              <w:t>Organizers</w:t>
            </w:r>
          </w:p>
        </w:tc>
        <w:tc>
          <w:tcPr>
            <w:tcW w:w="7738"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spacing w:line="300" w:lineRule="auto"/>
            </w:pPr>
            <w:r>
              <w:rPr>
                <w:rFonts w:ascii="Arial" w:hAnsi="Arial" w:cs="Arial"/>
                <w:sz w:val="18"/>
                <w:szCs w:val="18"/>
              </w:rPr>
              <w:t>IIC Project Group, Incheon National University, Incheon Metropolitan City Institute of Health and Environment, Tianjin University (China)</w:t>
            </w:r>
          </w:p>
        </w:tc>
      </w:tr>
      <w:tr w:rsidR="004861B9">
        <w:tc>
          <w:tcPr>
            <w:tcW w:w="19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4861B9" w:rsidRDefault="003A0BDE">
            <w:pPr>
              <w:spacing w:line="300" w:lineRule="auto"/>
              <w:jc w:val="center"/>
            </w:pPr>
            <w:r>
              <w:rPr>
                <w:rFonts w:ascii="Arial" w:hAnsi="Arial" w:cs="Arial"/>
                <w:b/>
                <w:bCs/>
                <w:sz w:val="18"/>
                <w:szCs w:val="18"/>
              </w:rPr>
              <w:t>Attendees</w:t>
            </w:r>
          </w:p>
        </w:tc>
        <w:tc>
          <w:tcPr>
            <w:tcW w:w="7738"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spacing w:line="300" w:lineRule="auto"/>
            </w:pPr>
            <w:r>
              <w:rPr>
                <w:rFonts w:ascii="Arial" w:hAnsi="Arial" w:cs="Arial"/>
                <w:sz w:val="18"/>
                <w:szCs w:val="18"/>
              </w:rPr>
              <w:t>161 in total (IIC companies, domestic and international experts and researchers, citizens)</w:t>
            </w:r>
          </w:p>
        </w:tc>
      </w:tr>
      <w:tr w:rsidR="004861B9">
        <w:tc>
          <w:tcPr>
            <w:tcW w:w="19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4861B9" w:rsidRDefault="003A0BDE">
            <w:pPr>
              <w:spacing w:line="300" w:lineRule="auto"/>
              <w:jc w:val="center"/>
            </w:pPr>
            <w:r>
              <w:rPr>
                <w:rFonts w:ascii="Arial" w:hAnsi="Arial" w:cs="Arial"/>
                <w:b/>
                <w:bCs/>
                <w:sz w:val="18"/>
                <w:szCs w:val="18"/>
              </w:rPr>
              <w:t>Presenters</w:t>
            </w:r>
          </w:p>
        </w:tc>
        <w:tc>
          <w:tcPr>
            <w:tcW w:w="7738"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spacing w:line="300" w:lineRule="auto"/>
            </w:pPr>
            <w:r>
              <w:rPr>
                <w:rFonts w:ascii="Arial" w:hAnsi="Arial" w:cs="Arial"/>
                <w:sz w:val="18"/>
                <w:szCs w:val="18"/>
              </w:rPr>
              <w:t>(China) Nankai Univ., Tianjin Univ., Sichuan Univ., Nanjing Univ. of Science and Technology, Shandong Univ., Harbin Institute of Technology</w:t>
            </w:r>
          </w:p>
          <w:p w:rsidR="004861B9" w:rsidRDefault="003A0BDE">
            <w:pPr>
              <w:spacing w:line="300" w:lineRule="auto"/>
            </w:pPr>
            <w:r>
              <w:rPr>
                <w:rFonts w:ascii="Arial" w:hAnsi="Arial" w:cs="Arial"/>
                <w:sz w:val="18"/>
                <w:szCs w:val="18"/>
              </w:rPr>
              <w:t>(Korea) Incheon Metropolitan City Institute of Health and Environment, Incheon National University</w:t>
            </w:r>
          </w:p>
        </w:tc>
      </w:tr>
      <w:tr w:rsidR="004861B9">
        <w:tc>
          <w:tcPr>
            <w:tcW w:w="19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4861B9" w:rsidRDefault="003A0BDE">
            <w:pPr>
              <w:spacing w:line="300" w:lineRule="auto"/>
              <w:jc w:val="center"/>
            </w:pPr>
            <w:r>
              <w:rPr>
                <w:rFonts w:ascii="Arial" w:hAnsi="Arial" w:cs="Arial"/>
                <w:b/>
                <w:bCs/>
                <w:sz w:val="18"/>
                <w:szCs w:val="18"/>
              </w:rPr>
              <w:t>Sessions</w:t>
            </w:r>
          </w:p>
        </w:tc>
        <w:tc>
          <w:tcPr>
            <w:tcW w:w="7738"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spacing w:line="300" w:lineRule="auto"/>
            </w:pPr>
            <w:r>
              <w:rPr>
                <w:rFonts w:ascii="Arial" w:hAnsi="Arial" w:cs="Arial"/>
                <w:sz w:val="18"/>
                <w:szCs w:val="18"/>
              </w:rPr>
              <w:t xml:space="preserve">① Air &amp; </w:t>
            </w:r>
            <w:proofErr w:type="gramStart"/>
            <w:r>
              <w:rPr>
                <w:rFonts w:ascii="Arial" w:hAnsi="Arial" w:cs="Arial"/>
                <w:sz w:val="18"/>
                <w:szCs w:val="18"/>
              </w:rPr>
              <w:t>Climate  ②</w:t>
            </w:r>
            <w:proofErr w:type="gramEnd"/>
            <w:r>
              <w:rPr>
                <w:rFonts w:ascii="Arial" w:hAnsi="Arial" w:cs="Arial"/>
                <w:sz w:val="18"/>
                <w:szCs w:val="18"/>
              </w:rPr>
              <w:t xml:space="preserve"> Energy &amp; Carbon  ③ Water &amp; Soil</w:t>
            </w:r>
          </w:p>
        </w:tc>
      </w:tr>
      <w:tr w:rsidR="004861B9">
        <w:tc>
          <w:tcPr>
            <w:tcW w:w="19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4861B9" w:rsidRDefault="003A0BDE">
            <w:pPr>
              <w:spacing w:line="300" w:lineRule="auto"/>
              <w:jc w:val="center"/>
            </w:pPr>
            <w:r>
              <w:rPr>
                <w:rFonts w:ascii="Arial" w:hAnsi="Arial" w:cs="Arial"/>
                <w:b/>
                <w:bCs/>
                <w:sz w:val="18"/>
                <w:szCs w:val="18"/>
              </w:rPr>
              <w:t>Outcomes</w:t>
            </w:r>
          </w:p>
        </w:tc>
        <w:tc>
          <w:tcPr>
            <w:tcW w:w="7738"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spacing w:line="300" w:lineRule="auto"/>
            </w:pPr>
            <w:r>
              <w:rPr>
                <w:rFonts w:ascii="Arial" w:hAnsi="Arial" w:cs="Arial"/>
                <w:sz w:val="18"/>
                <w:szCs w:val="18"/>
              </w:rPr>
              <w:t>12 research results presented in 3 fields; groundwork for joint research, technology transfer and demonstration with IIC companies</w:t>
            </w:r>
          </w:p>
        </w:tc>
      </w:tr>
    </w:tbl>
    <w:p w:rsidR="004861B9" w:rsidRDefault="004861B9">
      <w:pPr>
        <w:spacing w:after="200" w:line="360" w:lineRule="auto"/>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4861B9">
        <w:tc>
          <w:tcPr>
            <w:tcW w:w="9638" w:type="dxa"/>
            <w:tcBorders>
              <w:top w:val="none" w:sz="0" w:space="0" w:color="FFFFFF"/>
              <w:left w:val="none" w:sz="0" w:space="0" w:color="FFFFFF"/>
              <w:bottom w:val="none" w:sz="0" w:space="0" w:color="FFFFFF"/>
              <w:right w:val="none" w:sz="0" w:space="0" w:color="FFFFFF"/>
            </w:tcBorders>
            <w:shd w:val="clear" w:color="auto" w:fill="1F3A5F"/>
            <w:tcMar>
              <w:top w:w="60" w:type="dxa"/>
              <w:left w:w="120" w:type="dxa"/>
              <w:bottom w:w="60" w:type="dxa"/>
              <w:right w:w="120" w:type="dxa"/>
            </w:tcMar>
            <w:vAlign w:val="center"/>
          </w:tcPr>
          <w:p w:rsidR="004861B9" w:rsidRDefault="003A0BDE">
            <w:pPr>
              <w:spacing w:line="300" w:lineRule="auto"/>
            </w:pPr>
            <w:r>
              <w:rPr>
                <w:b/>
                <w:bCs/>
                <w:color w:val="FFFFFF"/>
              </w:rPr>
              <w:t xml:space="preserve">Annex </w:t>
            </w:r>
            <w:proofErr w:type="gramStart"/>
            <w:r>
              <w:rPr>
                <w:b/>
                <w:bCs/>
                <w:color w:val="FFFFFF"/>
              </w:rPr>
              <w:t>2  Photos</w:t>
            </w:r>
            <w:proofErr w:type="gramEnd"/>
          </w:p>
        </w:tc>
      </w:tr>
    </w:tbl>
    <w:p w:rsidR="004861B9" w:rsidRDefault="004861B9">
      <w:pPr>
        <w:spacing w:after="60" w:line="360" w:lineRule="auto"/>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819"/>
        <w:gridCol w:w="4819"/>
      </w:tblGrid>
      <w:tr w:rsidR="004861B9">
        <w:tc>
          <w:tcPr>
            <w:tcW w:w="4819"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jc w:val="center"/>
            </w:pPr>
            <w:r>
              <w:rPr>
                <w:noProof/>
              </w:rPr>
              <w:drawing>
                <wp:inline distT="0" distB="0" distL="0" distR="0">
                  <wp:extent cx="2857500" cy="2143125"/>
                  <wp:effectExtent l="0" t="0" r="0" b="0"/>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2857500" cy="2143125"/>
                          </a:xfrm>
                          <a:prstGeom prst="rect">
                            <a:avLst/>
                          </a:prstGeom>
                        </pic:spPr>
                      </pic:pic>
                    </a:graphicData>
                  </a:graphic>
                </wp:inline>
              </w:drawing>
            </w:r>
          </w:p>
        </w:tc>
        <w:tc>
          <w:tcPr>
            <w:tcW w:w="4819"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jc w:val="center"/>
            </w:pPr>
            <w:r>
              <w:rPr>
                <w:noProof/>
              </w:rPr>
              <w:drawing>
                <wp:inline distT="0" distB="0" distL="0" distR="0">
                  <wp:extent cx="2857500" cy="2143125"/>
                  <wp:effectExtent l="0" t="0" r="0" b="0"/>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2857500" cy="2143125"/>
                          </a:xfrm>
                          <a:prstGeom prst="rect">
                            <a:avLst/>
                          </a:prstGeom>
                        </pic:spPr>
                      </pic:pic>
                    </a:graphicData>
                  </a:graphic>
                </wp:inline>
              </w:drawing>
            </w:r>
          </w:p>
        </w:tc>
      </w:tr>
      <w:tr w:rsidR="004861B9">
        <w:tc>
          <w:tcPr>
            <w:tcW w:w="4819"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spacing w:line="300" w:lineRule="auto"/>
            </w:pPr>
            <w:r>
              <w:rPr>
                <w:rFonts w:ascii="Arial" w:hAnsi="Arial" w:cs="Arial"/>
                <w:b/>
                <w:bCs/>
                <w:sz w:val="18"/>
                <w:szCs w:val="18"/>
              </w:rPr>
              <w:t xml:space="preserve">&lt;Photo 1&gt; </w:t>
            </w:r>
            <w:r>
              <w:rPr>
                <w:rFonts w:ascii="Arial" w:hAnsi="Arial" w:cs="Arial"/>
                <w:sz w:val="18"/>
                <w:szCs w:val="18"/>
              </w:rPr>
              <w:t>The IIC Environmental Technology Seminar, held with the 7th Incheon–Tianjin International Academic Forum on the Environment, at Incheon National University’s Songdo Campus on September 9</w:t>
            </w:r>
          </w:p>
        </w:tc>
        <w:tc>
          <w:tcPr>
            <w:tcW w:w="4819"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4861B9" w:rsidRDefault="003A0BDE">
            <w:pPr>
              <w:spacing w:line="300" w:lineRule="auto"/>
            </w:pPr>
            <w:r>
              <w:rPr>
                <w:rFonts w:ascii="Arial" w:hAnsi="Arial" w:cs="Arial"/>
                <w:b/>
                <w:bCs/>
                <w:sz w:val="18"/>
                <w:szCs w:val="18"/>
              </w:rPr>
              <w:t xml:space="preserve">&lt;Photo 2&gt; </w:t>
            </w:r>
            <w:r>
              <w:rPr>
                <w:rFonts w:ascii="Arial" w:hAnsi="Arial" w:cs="Arial"/>
                <w:sz w:val="18"/>
                <w:szCs w:val="18"/>
              </w:rPr>
              <w:t>Welcome remarks session at the IIC Environmental Technology Seminar</w:t>
            </w:r>
          </w:p>
        </w:tc>
      </w:tr>
    </w:tbl>
    <w:p w:rsidR="003A0BDE" w:rsidRDefault="003A0BDE"/>
    <w:sectPr w:rsidR="003A0BDE">
      <w:footerReference w:type="default" r:id="rId11"/>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6BE9" w:rsidRDefault="00156BE9">
      <w:r>
        <w:separator/>
      </w:r>
    </w:p>
  </w:endnote>
  <w:endnote w:type="continuationSeparator" w:id="0">
    <w:p w:rsidR="00156BE9" w:rsidRDefault="00156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61B9" w:rsidRDefault="003A0BDE">
    <w:pPr>
      <w:pBdr>
        <w:top w:val="single" w:sz="4" w:space="4" w:color="BFBFBF"/>
      </w:pBdr>
      <w:tabs>
        <w:tab w:val="right" w:pos="9638"/>
      </w:tabs>
    </w:pPr>
    <w:proofErr w:type="spellStart"/>
    <w:r>
      <w:rPr>
        <w:color w:val="7F7F7F"/>
        <w:sz w:val="16"/>
        <w:szCs w:val="16"/>
      </w:rPr>
      <w:t>인천강소연구개발특구사업단</w:t>
    </w:r>
    <w:proofErr w:type="spellEnd"/>
    <w:r>
      <w:rPr>
        <w:color w:val="7F7F7F"/>
        <w:sz w:val="16"/>
        <w:szCs w:val="16"/>
      </w:rPr>
      <w:t xml:space="preserve"> · Incheon Innovation Cluster</w:t>
    </w:r>
    <w:r>
      <w:rPr>
        <w:color w:val="7F7F7F"/>
        <w:sz w:val="16"/>
        <w:szCs w:val="16"/>
      </w:rPr>
      <w:tab/>
    </w:r>
    <w:r>
      <w:rPr>
        <w:color w:val="7F7F7F"/>
        <w:sz w:val="16"/>
        <w:szCs w:val="16"/>
      </w:rPr>
      <w:fldChar w:fldCharType="begin"/>
    </w:r>
    <w:r>
      <w:rPr>
        <w:color w:val="7F7F7F"/>
        <w:sz w:val="16"/>
        <w:szCs w:val="16"/>
      </w:rPr>
      <w:instrText>PAGE</w:instrText>
    </w:r>
    <w:r>
      <w:rPr>
        <w:color w:val="7F7F7F"/>
        <w:sz w:val="16"/>
        <w:szCs w:val="16"/>
      </w:rPr>
      <w:fldChar w:fldCharType="separate"/>
    </w:r>
    <w:r w:rsidR="0059569A">
      <w:rPr>
        <w:noProof/>
        <w:color w:val="7F7F7F"/>
        <w:sz w:val="16"/>
        <w:szCs w:val="16"/>
      </w:rPr>
      <w:t>1</w:t>
    </w:r>
    <w:r>
      <w:rPr>
        <w:color w:val="7F7F7F"/>
        <w:sz w:val="16"/>
        <w:szCs w:val="16"/>
      </w:rPr>
      <w:fldChar w:fldCharType="end"/>
    </w:r>
    <w:r>
      <w:rPr>
        <w:color w:val="7F7F7F"/>
        <w:sz w:val="16"/>
        <w:szCs w:val="16"/>
      </w:rPr>
      <w:t xml:space="preserve"> / </w:t>
    </w:r>
    <w:r>
      <w:rPr>
        <w:color w:val="7F7F7F"/>
        <w:sz w:val="16"/>
        <w:szCs w:val="16"/>
      </w:rPr>
      <w:fldChar w:fldCharType="begin"/>
    </w:r>
    <w:r>
      <w:rPr>
        <w:color w:val="7F7F7F"/>
        <w:sz w:val="16"/>
        <w:szCs w:val="16"/>
      </w:rPr>
      <w:instrText>NUMPAGES</w:instrText>
    </w:r>
    <w:r>
      <w:rPr>
        <w:color w:val="7F7F7F"/>
        <w:sz w:val="16"/>
        <w:szCs w:val="16"/>
      </w:rPr>
      <w:fldChar w:fldCharType="separate"/>
    </w:r>
    <w:r w:rsidR="0059569A">
      <w:rPr>
        <w:noProof/>
        <w:color w:val="7F7F7F"/>
        <w:sz w:val="16"/>
        <w:szCs w:val="16"/>
      </w:rPr>
      <w:t>1</w:t>
    </w:r>
    <w:r>
      <w:rPr>
        <w:color w:val="7F7F7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6BE9" w:rsidRDefault="00156BE9">
      <w:r>
        <w:separator/>
      </w:r>
    </w:p>
  </w:footnote>
  <w:footnote w:type="continuationSeparator" w:id="0">
    <w:p w:rsidR="00156BE9" w:rsidRDefault="00156B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024"/>
    <w:multiLevelType w:val="hybridMultilevel"/>
    <w:tmpl w:val="9EB62090"/>
    <w:lvl w:ilvl="0" w:tplc="B186F37E">
      <w:start w:val="1"/>
      <w:numFmt w:val="bullet"/>
      <w:lvlText w:val="●"/>
      <w:lvlJc w:val="left"/>
      <w:pPr>
        <w:ind w:left="720" w:hanging="360"/>
      </w:pPr>
    </w:lvl>
    <w:lvl w:ilvl="1" w:tplc="C1DCAEE8">
      <w:start w:val="1"/>
      <w:numFmt w:val="bullet"/>
      <w:lvlText w:val="○"/>
      <w:lvlJc w:val="left"/>
      <w:pPr>
        <w:ind w:left="1440" w:hanging="360"/>
      </w:pPr>
    </w:lvl>
    <w:lvl w:ilvl="2" w:tplc="A3E057D2">
      <w:start w:val="1"/>
      <w:numFmt w:val="bullet"/>
      <w:lvlText w:val="■"/>
      <w:lvlJc w:val="left"/>
      <w:pPr>
        <w:ind w:left="2160" w:hanging="360"/>
      </w:pPr>
    </w:lvl>
    <w:lvl w:ilvl="3" w:tplc="89C4C82C">
      <w:start w:val="1"/>
      <w:numFmt w:val="bullet"/>
      <w:lvlText w:val="●"/>
      <w:lvlJc w:val="left"/>
      <w:pPr>
        <w:ind w:left="2880" w:hanging="360"/>
      </w:pPr>
    </w:lvl>
    <w:lvl w:ilvl="4" w:tplc="DAF452A0">
      <w:start w:val="1"/>
      <w:numFmt w:val="bullet"/>
      <w:lvlText w:val="○"/>
      <w:lvlJc w:val="left"/>
      <w:pPr>
        <w:ind w:left="3600" w:hanging="360"/>
      </w:pPr>
    </w:lvl>
    <w:lvl w:ilvl="5" w:tplc="182CB522">
      <w:start w:val="1"/>
      <w:numFmt w:val="bullet"/>
      <w:lvlText w:val="■"/>
      <w:lvlJc w:val="left"/>
      <w:pPr>
        <w:ind w:left="4320" w:hanging="360"/>
      </w:pPr>
    </w:lvl>
    <w:lvl w:ilvl="6" w:tplc="8776571A">
      <w:start w:val="1"/>
      <w:numFmt w:val="bullet"/>
      <w:lvlText w:val="●"/>
      <w:lvlJc w:val="left"/>
      <w:pPr>
        <w:ind w:left="5040" w:hanging="360"/>
      </w:pPr>
    </w:lvl>
    <w:lvl w:ilvl="7" w:tplc="F2485F9E">
      <w:start w:val="1"/>
      <w:numFmt w:val="bullet"/>
      <w:lvlText w:val="●"/>
      <w:lvlJc w:val="left"/>
      <w:pPr>
        <w:ind w:left="5760" w:hanging="360"/>
      </w:pPr>
    </w:lvl>
    <w:lvl w:ilvl="8" w:tplc="C75A69C4">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80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1B9"/>
    <w:rsid w:val="00156BE9"/>
    <w:rsid w:val="003A0BDE"/>
    <w:rsid w:val="004861B9"/>
    <w:rsid w:val="0059569A"/>
    <w:rsid w:val="006D5084"/>
    <w:rsid w:val="009535F2"/>
    <w:rsid w:val="00D03285"/>
    <w:rsid w:val="00DF23A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D042A"/>
  <w15:docId w15:val="{CAE45F9F-342C-4B92-935F-7BCBFD198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맑은 고딕" w:eastAsia="맑은 고딕" w:hAnsi="맑은 고딕" w:cs="맑은 고딕"/>
        <w:sz w:val="22"/>
        <w:szCs w:val="22"/>
        <w:lang w:val="en-US"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굵은 텍스트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Char"/>
    <w:uiPriority w:val="99"/>
    <w:semiHidden/>
    <w:unhideWhenUsed/>
    <w:rPr>
      <w:sz w:val="20"/>
      <w:szCs w:val="20"/>
    </w:rPr>
  </w:style>
  <w:style w:type="character" w:customStyle="1" w:styleId="Char">
    <w:name w:val="각주 텍스트 Char"/>
    <w:link w:val="a7"/>
    <w:uiPriority w:val="99"/>
    <w:semiHidden/>
    <w:unhideWhenUsed/>
    <w:rPr>
      <w:sz w:val="20"/>
      <w:szCs w:val="20"/>
    </w:rPr>
  </w:style>
  <w:style w:type="character" w:styleId="a8">
    <w:name w:val="endnote reference"/>
    <w:uiPriority w:val="99"/>
    <w:semiHidden/>
    <w:unhideWhenUsed/>
    <w:rPr>
      <w:vertAlign w:val="superscript"/>
    </w:rPr>
  </w:style>
  <w:style w:type="paragraph" w:styleId="a9">
    <w:name w:val="endnote text"/>
    <w:link w:val="Char0"/>
    <w:uiPriority w:val="99"/>
    <w:semiHidden/>
    <w:unhideWhenUsed/>
    <w:rPr>
      <w:sz w:val="20"/>
      <w:szCs w:val="20"/>
    </w:rPr>
  </w:style>
  <w:style w:type="character" w:customStyle="1" w:styleId="Char0">
    <w:name w:val="미주 텍스트 Char"/>
    <w:link w:val="a9"/>
    <w:uiPriority w:val="99"/>
    <w:semiHidden/>
    <w:unhideWhenUsed/>
    <w:rPr>
      <w:sz w:val="20"/>
      <w:szCs w:val="20"/>
    </w:rPr>
  </w:style>
  <w:style w:type="paragraph" w:styleId="aa">
    <w:name w:val="header"/>
    <w:basedOn w:val="a"/>
    <w:link w:val="Char1"/>
    <w:uiPriority w:val="99"/>
    <w:unhideWhenUsed/>
    <w:rsid w:val="009535F2"/>
    <w:pPr>
      <w:tabs>
        <w:tab w:val="center" w:pos="4513"/>
        <w:tab w:val="right" w:pos="9026"/>
      </w:tabs>
      <w:snapToGrid w:val="0"/>
    </w:pPr>
  </w:style>
  <w:style w:type="character" w:customStyle="1" w:styleId="Char1">
    <w:name w:val="머리글 Char"/>
    <w:basedOn w:val="a0"/>
    <w:link w:val="aa"/>
    <w:uiPriority w:val="99"/>
    <w:rsid w:val="009535F2"/>
  </w:style>
  <w:style w:type="paragraph" w:styleId="ab">
    <w:name w:val="footer"/>
    <w:basedOn w:val="a"/>
    <w:link w:val="Char2"/>
    <w:uiPriority w:val="99"/>
    <w:unhideWhenUsed/>
    <w:rsid w:val="009535F2"/>
    <w:pPr>
      <w:tabs>
        <w:tab w:val="center" w:pos="4513"/>
        <w:tab w:val="right" w:pos="9026"/>
      </w:tabs>
      <w:snapToGrid w:val="0"/>
    </w:pPr>
  </w:style>
  <w:style w:type="character" w:customStyle="1" w:styleId="Char2">
    <w:name w:val="바닥글 Char"/>
    <w:basedOn w:val="a0"/>
    <w:link w:val="ab"/>
    <w:uiPriority w:val="99"/>
    <w:rsid w:val="009535F2"/>
  </w:style>
  <w:style w:type="paragraph" w:styleId="ac">
    <w:name w:val="Balloon Text"/>
    <w:basedOn w:val="a"/>
    <w:link w:val="Char3"/>
    <w:uiPriority w:val="99"/>
    <w:semiHidden/>
    <w:unhideWhenUsed/>
    <w:rsid w:val="009535F2"/>
    <w:rPr>
      <w:rFonts w:asciiTheme="majorHAnsi" w:eastAsiaTheme="majorEastAsia" w:hAnsiTheme="majorHAnsi" w:cstheme="majorBidi"/>
      <w:sz w:val="18"/>
      <w:szCs w:val="18"/>
    </w:rPr>
  </w:style>
  <w:style w:type="character" w:customStyle="1" w:styleId="Char3">
    <w:name w:val="풍선 도움말 텍스트 Char"/>
    <w:basedOn w:val="a0"/>
    <w:link w:val="ac"/>
    <w:uiPriority w:val="99"/>
    <w:semiHidden/>
    <w:rsid w:val="009535F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1021</Words>
  <Characters>5826</Characters>
  <Application>Microsoft Office Word</Application>
  <DocSecurity>0</DocSecurity>
  <Lines>48</Lines>
  <Paragraphs>13</Paragraphs>
  <ScaleCrop>false</ScaleCrop>
  <HeadingPairs>
    <vt:vector size="2" baseType="variant">
      <vt:variant>
        <vt:lpstr>제목</vt:lpstr>
      </vt:variant>
      <vt:variant>
        <vt:i4>1</vt:i4>
      </vt:variant>
    </vt:vector>
  </HeadingPairs>
  <TitlesOfParts>
    <vt:vector size="1" baseType="lpstr">
      <vt:lpstr>iic 보도자료 - 인천-텐진 환경기술세미나 v1</vt:lpstr>
    </vt:vector>
  </TitlesOfParts>
  <Company/>
  <LinksUpToDate>false</LinksUpToDate>
  <CharactersWithSpaces>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iic 보도자료 - 인천-텐진 환경기술세미나 v1</dc:title>
  <dc:creator>인천강소연구개발특구 사업단</dc:creator>
  <cp:lastModifiedBy>user</cp:lastModifiedBy>
  <cp:revision>3</cp:revision>
  <cp:lastPrinted>2026-09-17T05:48:00Z</cp:lastPrinted>
  <dcterms:created xsi:type="dcterms:W3CDTF">2026-09-17T05:12:00Z</dcterms:created>
  <dcterms:modified xsi:type="dcterms:W3CDTF">2026-09-17T06:06:00Z</dcterms:modified>
</cp:coreProperties>
</file>